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Analiza Projektów Budowlanych - Raport dla Zarządu</w:t>
      </w:r>
    </w:p>
    <w:p>
      <w:pPr>
        <w:pStyle w:val="Heading1"/>
      </w:pPr>
      <w:r>
        <w:t>1. Wprowadzenie</w:t>
      </w:r>
    </w:p>
    <w:p>
      <w:r>
        <w:br/>
        <w:t xml:space="preserve">Niniejszy raport przedstawia szczegółową analizę 7 projektów budowlanych realizowanych przez ProBuild Solutions Sp. z o.o. w 2024 roku. </w:t>
        <w:br/>
        <w:t>Raport obejmuje analizę rentowności, identyfikację ryzyk oraz rekomendacje dotyczące poprawy efektywności realizacji przyszłych projektów.</w:t>
        <w:br/>
        <w:br/>
        <w:t xml:space="preserve">Firma ProBuild Solutions specjalizuje się w realizacji projektów budowlanych o różnej skali - od remontów obiektów publicznych </w:t>
        <w:br/>
        <w:t>po duże inwestycje infrastrukturalne. W analizowanym okresie firma realizowała projekty o łącznej wartości 297,2 mln PLN.</w:t>
        <w:br/>
      </w:r>
    </w:p>
    <w:p>
      <w:pPr>
        <w:pStyle w:val="Heading1"/>
      </w:pPr>
      <w:r>
        <w:t>2. Szczegółowy przegląd projektów</w:t>
      </w:r>
    </w:p>
    <w:p>
      <w:pPr>
        <w:pStyle w:val="Heading2"/>
      </w:pPr>
      <w:r>
        <w:t>2.1 Budowa Centrum Handlowego "Galeria Miejska" (PB-2024-001)</w:t>
      </w:r>
    </w:p>
    <w:p>
      <w:pPr>
        <w:pStyle w:val="Heading3"/>
      </w:pPr>
      <w:r>
        <w:t>Opis projektu:</w:t>
      </w:r>
    </w:p>
    <w:p>
      <w:r>
        <w:t xml:space="preserve">Projekt obejmował budowę centrum handlowego o powierzchni 25 000 m² z podziemnym parkingiem na 400 miejsc. </w:t>
        <w:br/>
        <w:t xml:space="preserve">        Zakres prac: fundamenty, konstrukcja żelbetowa, elewacja szklana, instalacje elektryczne i sanitarne, wykończenia wnętrz.</w:t>
        <w:br/>
        <w:br/>
        <w:t xml:space="preserve">        Wyzwania projektu:</w:t>
        <w:br/>
        <w:t xml:space="preserve">        - Budowa w centrum miasta z ograniczonym dostępem</w:t>
        <w:br/>
        <w:t xml:space="preserve">        - Konieczność zachowania ruchu komunikacyjnego podczas budowy</w:t>
        <w:br/>
        <w:t xml:space="preserve">        - Wymagania architektoniczne dotyczące elewacji szklanej</w:t>
        <w:br/>
        <w:br/>
        <w:t xml:space="preserve">        Projekt został zakończony z miesięcznym opóźnieniem, jednak udało się utrzymać rentowność na poziomie 3,33%.</w:t>
      </w:r>
    </w:p>
    <w:p>
      <w:pPr>
        <w:pStyle w:val="Heading3"/>
      </w:pPr>
      <w:r>
        <w:t>Analiza ryzyk:</w:t>
      </w:r>
    </w:p>
    <w:p>
      <w:r>
        <w:t>Zidentyfikowane ryzyka:</w:t>
        <w:br/>
        <w:t xml:space="preserve">        - Opóźnienia w dostawach materiałów szklanych (zmaterializowane - 2 tygodnie opóźnienia)</w:t>
        <w:br/>
        <w:t xml:space="preserve">        - Problemy z uzyskaniem pozwoleń komunikacyjnych (zmaterializowane - 1 miesiąc opóźnienia)</w:t>
        <w:br/>
        <w:t xml:space="preserve">        - Wzrost cen stali o 8% w trakcie realizacji (zmaterializowane)</w:t>
      </w:r>
    </w:p>
    <w:p>
      <w:pPr>
        <w:pStyle w:val="Heading3"/>
      </w:pPr>
      <w:r>
        <w:t>Status rentowności:</w:t>
      </w:r>
    </w:p>
    <w:p>
      <w:r>
        <w:t>Status: Rentowny</w:t>
      </w:r>
    </w:p>
    <w:p>
      <w:r>
        <w:br w:type="page"/>
      </w:r>
    </w:p>
    <w:p>
      <w:pPr>
        <w:pStyle w:val="Heading2"/>
      </w:pPr>
      <w:r>
        <w:t>2.2 Remont Szkoły Podstawowej Nr 15 (PB-2024-002)</w:t>
      </w:r>
    </w:p>
    <w:p>
      <w:pPr>
        <w:pStyle w:val="Heading3"/>
      </w:pPr>
      <w:r>
        <w:t>Opis projektu:</w:t>
      </w:r>
    </w:p>
    <w:p>
      <w:r>
        <w:t>Kompleksowy remont szkoły obejmujący wymianę instalacji elektrycznej, hydraulicznej oraz termomodernizację budynku.</w:t>
        <w:br/>
        <w:br/>
        <w:t xml:space="preserve">        Zakres prac:</w:t>
        <w:br/>
        <w:t xml:space="preserve">        - Wymiana okien i drzwi</w:t>
        <w:br/>
        <w:t xml:space="preserve">        - Ocieplenie ścian zewnętrznych</w:t>
        <w:br/>
        <w:t xml:space="preserve">        - Modernizacja systemu grzewczego</w:t>
        <w:br/>
        <w:t xml:space="preserve">        - Remont sal lekcyjnych i korytarzy</w:t>
        <w:br/>
        <w:br/>
        <w:t xml:space="preserve">        Projekt został zrealizowany zgodnie z harmonogramem i budżetem. Prace wykonywano w okresie wakacyjnym,</w:t>
        <w:br/>
        <w:t xml:space="preserve">        co pozwoliło uniknąć zakłóceń w funkcjonowaniu szkoły.</w:t>
      </w:r>
    </w:p>
    <w:p>
      <w:pPr>
        <w:pStyle w:val="Heading3"/>
      </w:pPr>
      <w:r>
        <w:t>Analiza ryzyk:</w:t>
      </w:r>
    </w:p>
    <w:p>
      <w:r>
        <w:t>Zidentyfikowane ryzyka:</w:t>
        <w:br/>
        <w:t xml:space="preserve">        - Konieczność zakończenia prac przed rozpoczęciem roku szkolnego (ryzyko kontrolowane)</w:t>
        <w:br/>
        <w:t xml:space="preserve">        - Odkrycie azbestu w starych instalacjach (nie zmaterializowane)</w:t>
        <w:br/>
        <w:t xml:space="preserve">        - Warunki atmosferyczne podczas prac elewacyjnych (ryzyko kontrolowane)</w:t>
      </w:r>
    </w:p>
    <w:p>
      <w:pPr>
        <w:pStyle w:val="Heading3"/>
      </w:pPr>
      <w:r>
        <w:t>Status rentowności:</w:t>
      </w:r>
    </w:p>
    <w:p>
      <w:r>
        <w:t>Status: Rentowny</w:t>
      </w:r>
    </w:p>
    <w:p>
      <w:r>
        <w:br w:type="page"/>
      </w:r>
    </w:p>
    <w:p>
      <w:pPr>
        <w:pStyle w:val="Heading2"/>
      </w:pPr>
      <w:r>
        <w:t>2.3 Budowa Osiedla Mieszkaniowego "Zielone Wzgórza" (PB-2024-003)</w:t>
      </w:r>
    </w:p>
    <w:p>
      <w:pPr>
        <w:pStyle w:val="Heading3"/>
      </w:pPr>
      <w:r>
        <w:t>Opis projektu:</w:t>
      </w:r>
    </w:p>
    <w:p>
      <w:r>
        <w:t>Budowa osiedla 5 budynków mieszkalnych (120 mieszkań) wraz z infrastrukturą techniczną i drogami wewnętrznymi.</w:t>
        <w:br/>
        <w:br/>
        <w:t xml:space="preserve">        Zakres prac:</w:t>
        <w:br/>
        <w:t xml:space="preserve">        - Przygotowanie terenu i roboty ziemne</w:t>
        <w:br/>
        <w:t xml:space="preserve">        - Budowa 5 budynków 4-kondygnacyjnych</w:t>
        <w:br/>
        <w:t xml:space="preserve">        - Infrastruktura drogowa i parkingowa</w:t>
        <w:br/>
        <w:t xml:space="preserve">        - Sieci zewnętrzne (woda, kanalizacja, gaz, elektryka)</w:t>
        <w:br/>
        <w:t xml:space="preserve">        - Zieleń i mała architektura</w:t>
        <w:br/>
        <w:br/>
        <w:t xml:space="preserve">        Projekt obecnie w trakcie realizacji, z niewielkim miesięcznym opóźnieniem względem harmonogramu.</w:t>
      </w:r>
    </w:p>
    <w:p>
      <w:pPr>
        <w:pStyle w:val="Heading3"/>
      </w:pPr>
      <w:r>
        <w:t>Analiza ryzyk:</w:t>
      </w:r>
    </w:p>
    <w:p>
      <w:r>
        <w:t>Zidentyfikowane ryzyka:</w:t>
        <w:br/>
        <w:t xml:space="preserve">        - Wydłużony proces uzyskiwania pozwoleń na budowę (zmaterializowane - 1 miesiąc opóźnienia)</w:t>
        <w:br/>
        <w:t xml:space="preserve">        - Problemy geologiczne w gruncie (częściowo zmaterializowane - dodatkowe prace fundamentowe)</w:t>
        <w:br/>
        <w:t xml:space="preserve">        - Wzrost cen materiałów budowlanych (zmaterializowane - 5% wzrost)</w:t>
      </w:r>
    </w:p>
    <w:p>
      <w:pPr>
        <w:pStyle w:val="Heading3"/>
      </w:pPr>
      <w:r>
        <w:t>Status rentowności:</w:t>
      </w:r>
    </w:p>
    <w:p>
      <w:r>
        <w:t>Status: Rentowny</w:t>
      </w:r>
    </w:p>
    <w:p>
      <w:r>
        <w:br w:type="page"/>
      </w:r>
    </w:p>
    <w:p>
      <w:pPr>
        <w:pStyle w:val="Heading2"/>
      </w:pPr>
      <w:r>
        <w:t>2.4 Modernizacja Fabryki Mebli (PB-2024-004)</w:t>
      </w:r>
    </w:p>
    <w:p>
      <w:pPr>
        <w:pStyle w:val="Heading3"/>
      </w:pPr>
      <w:r>
        <w:t>Opis projektu:</w:t>
      </w:r>
    </w:p>
    <w:p>
      <w:r>
        <w:t>Modernizacja linii produkcyjnej w fabryce mebli obejmująca wzmocnienie konstrukcji, nowe posadzki przemysłowe</w:t>
        <w:br/>
        <w:t xml:space="preserve">        oraz instalację systemu wentylacji.</w:t>
        <w:br/>
        <w:br/>
        <w:t xml:space="preserve">        Zakres prac:</w:t>
        <w:br/>
        <w:t xml:space="preserve">        - Wzmocnienie konstrukcji stalowej</w:t>
        <w:br/>
        <w:t xml:space="preserve">        - Wymiana posadzek przemysłowych</w:t>
        <w:br/>
        <w:t xml:space="preserve">        - Instalacja systemu wentylacji i odpylania</w:t>
        <w:br/>
        <w:t xml:space="preserve">        - Modernizacja instalacji elektrycznej</w:t>
        <w:br/>
        <w:br/>
        <w:t xml:space="preserve">        Projekt został zakończony zgodnie z harmonogramem przy zachowaniu najwyższej marży (4,17%) ze wszystkich projektów.</w:t>
      </w:r>
    </w:p>
    <w:p>
      <w:pPr>
        <w:pStyle w:val="Heading3"/>
      </w:pPr>
      <w:r>
        <w:t>Analiza ryzyk:</w:t>
      </w:r>
    </w:p>
    <w:p>
      <w:r>
        <w:t>Zidentyfikowane ryzyka:</w:t>
        <w:br/>
        <w:t xml:space="preserve">        - Konieczność pracy w funkcjonującej fabryce (ryzyko kontrolowane)</w:t>
        <w:br/>
        <w:t xml:space="preserve">        - Wymogi BHP w środowisku przemysłowym (ryzyko kontrolowane)</w:t>
        <w:br/>
        <w:t xml:space="preserve">        - Precyzyjne tolerancje dla posadzek przemysłowych (ryzyko kontrolowane)</w:t>
      </w:r>
    </w:p>
    <w:p>
      <w:pPr>
        <w:pStyle w:val="Heading3"/>
      </w:pPr>
      <w:r>
        <w:t>Status rentowności:</w:t>
      </w:r>
    </w:p>
    <w:p>
      <w:r>
        <w:t>Status: Rentowny</w:t>
      </w:r>
    </w:p>
    <w:p>
      <w:r>
        <w:br w:type="page"/>
      </w:r>
    </w:p>
    <w:p>
      <w:pPr>
        <w:pStyle w:val="Heading2"/>
      </w:pPr>
      <w:r>
        <w:t>2.5 Budowa Mostu Kolejowego nad Wisłą (PB-2024-005)</w:t>
      </w:r>
    </w:p>
    <w:p>
      <w:pPr>
        <w:pStyle w:val="Heading3"/>
      </w:pPr>
      <w:r>
        <w:t>Opis projektu:</w:t>
      </w:r>
    </w:p>
    <w:p>
      <w:r>
        <w:t>Budowa mostu kolejowego o długości 1,2 km z dwiema nitkami torów oraz drogą serwisową.</w:t>
        <w:br/>
        <w:br/>
        <w:t xml:space="preserve">        Zakres prac:</w:t>
        <w:br/>
        <w:t xml:space="preserve">        - Fundamenty głębokie w nurcie rzeki</w:t>
        <w:br/>
        <w:t xml:space="preserve">        - Konstrukcja stalowa o rozpiętości 180m</w:t>
        <w:br/>
        <w:t xml:space="preserve">        - Tory kolejowe i systemy sygnalizacyjne</w:t>
        <w:br/>
        <w:t xml:space="preserve">        - Ochrona przeciwpowodziowa</w:t>
        <w:br/>
        <w:br/>
        <w:t xml:space="preserve">        PROJEKT NIERENTOWNY - przekroczenie budżetu o 12 mln PLN i czasu realizacji o 12 miesięcy.</w:t>
      </w:r>
    </w:p>
    <w:p>
      <w:pPr>
        <w:pStyle w:val="Heading3"/>
      </w:pPr>
      <w:r>
        <w:t>Analiza ryzyk:</w:t>
      </w:r>
    </w:p>
    <w:p>
      <w:r>
        <w:t>Zmaterializowane ryzyka:</w:t>
        <w:br/>
        <w:t xml:space="preserve">        - Problemy z fundamentami w trudnych warunkach geologicznych (dodatkowe koszty: 5 mln PLN)</w:t>
        <w:br/>
        <w:t xml:space="preserve">        - Opóźnienia w dostawach konstrukcji stalowej z powodu COVID-19 (8 miesięcy opóźnienia)</w:t>
        <w:br/>
        <w:t xml:space="preserve">        - Wzrost cen stali o 25% (dodatkowe koszty: 4 mln PLN)</w:t>
        <w:br/>
        <w:t xml:space="preserve">        - Konieczność zatrudnienia dodatkowych specjalistów (dodatkowe koszty: 2 mln PLN)</w:t>
        <w:br/>
        <w:t xml:space="preserve">        - Wydłużone procedury środowiskowe (4 miesiące opóźnienia)</w:t>
      </w:r>
    </w:p>
    <w:p>
      <w:pPr>
        <w:pStyle w:val="Heading3"/>
      </w:pPr>
      <w:r>
        <w:t>Status rentowności:</w:t>
      </w:r>
    </w:p>
    <w:p>
      <w:r>
        <w:t>Status: Nierentowny</w:t>
      </w:r>
    </w:p>
    <w:p>
      <w:r>
        <w:br w:type="page"/>
      </w:r>
    </w:p>
    <w:p>
      <w:pPr>
        <w:pStyle w:val="Heading2"/>
      </w:pPr>
      <w:r>
        <w:t>2.6 Rozbudowa Szpitala Miejskiego (PB-2024-006)</w:t>
      </w:r>
    </w:p>
    <w:p>
      <w:pPr>
        <w:pStyle w:val="Heading3"/>
      </w:pPr>
      <w:r>
        <w:t>Opis projektu:</w:t>
      </w:r>
    </w:p>
    <w:p>
      <w:r>
        <w:t>Rozbudowa szpitala o nowy blok operacyjny z najnowocześniejszym wyposażeniem medycznym.</w:t>
        <w:br/>
        <w:br/>
        <w:t xml:space="preserve">        Zakres prac:</w:t>
        <w:br/>
        <w:t xml:space="preserve">        - Budowa nowego skrzydła szpitala (3 kondygnacje)</w:t>
        <w:br/>
        <w:t xml:space="preserve">        - Sale operacyjne z instalacjami specjalistycznymi</w:t>
        <w:br/>
        <w:t xml:space="preserve">        - System wentylacji sterylnej</w:t>
        <w:br/>
        <w:t xml:space="preserve">        - Instalacje gazów medycznych</w:t>
        <w:br/>
        <w:br/>
        <w:t xml:space="preserve">        PROJEKT NIERENTOWNY - znaczne przekroczenie budżetu i czasu realizacji z powodu wymagań sanitarnych.</w:t>
      </w:r>
    </w:p>
    <w:p>
      <w:pPr>
        <w:pStyle w:val="Heading3"/>
      </w:pPr>
      <w:r>
        <w:t>Analiza ryzyk:</w:t>
      </w:r>
    </w:p>
    <w:p>
      <w:r>
        <w:t>Zmaterializowane ryzyka:</w:t>
        <w:br/>
        <w:t xml:space="preserve">        - Zmiany w przepisach sanitarnych w trakcie budowy (dodatkowe koszty: 3 mln PLN)</w:t>
        <w:br/>
        <w:t xml:space="preserve">        - Problemy z certyfikacją instalacji medycznych (6 miesięcy opóźnienia)</w:t>
        <w:br/>
        <w:t xml:space="preserve">        - Konieczność zatrudnienia specjalistów medycznych jako konsultantów (dodatkowe koszty: 1,5 mln PLN)</w:t>
        <w:br/>
        <w:t xml:space="preserve">        - Awaria istniejących instalacji szpitalnych podczas prac (dodatkowe koszty: 1 mln PLN)</w:t>
      </w:r>
    </w:p>
    <w:p>
      <w:pPr>
        <w:pStyle w:val="Heading3"/>
      </w:pPr>
      <w:r>
        <w:t>Status rentowności:</w:t>
      </w:r>
    </w:p>
    <w:p>
      <w:r>
        <w:t>Status: Nierentowny</w:t>
      </w:r>
    </w:p>
    <w:p>
      <w:r>
        <w:br w:type="page"/>
      </w:r>
    </w:p>
    <w:p>
      <w:pPr>
        <w:pStyle w:val="Heading2"/>
      </w:pPr>
      <w:r>
        <w:t>2.7 Budowa Parkingu Wielopoziomowego (PB-2024-007)</w:t>
      </w:r>
    </w:p>
    <w:p>
      <w:pPr>
        <w:pStyle w:val="Heading3"/>
      </w:pPr>
      <w:r>
        <w:t>Opis projektu:</w:t>
      </w:r>
    </w:p>
    <w:p>
      <w:r>
        <w:t>Budowa 4-kondygnacyjnego parkingu na 300 miejsc postojowych w centrum miasta.</w:t>
        <w:br/>
        <w:br/>
        <w:t xml:space="preserve">        Zakres prac:</w:t>
        <w:br/>
        <w:t xml:space="preserve">        - Konstrukcja żelbetowa prefabrykowana</w:t>
        <w:br/>
        <w:t xml:space="preserve">        - System wentylacji mechanicznej</w:t>
        <w:br/>
        <w:t xml:space="preserve">        - Instalacje oświetleniowe LED</w:t>
        <w:br/>
        <w:t xml:space="preserve">        - System płatności i kontroli dostępu</w:t>
        <w:br/>
        <w:br/>
        <w:t xml:space="preserve">        Projekt w fazie planowania - rozpoczęcie zaplanowane na lipiec 2024.</w:t>
      </w:r>
    </w:p>
    <w:p>
      <w:pPr>
        <w:pStyle w:val="Heading3"/>
      </w:pPr>
      <w:r>
        <w:t>Analiza ryzyk:</w:t>
      </w:r>
    </w:p>
    <w:p>
      <w:r>
        <w:t>Zidentyfikowane ryzyka:</w:t>
        <w:br/>
        <w:t xml:space="preserve">        - Ograniczenia w dostawach prefabrykatów (ryzyko średnie)</w:t>
        <w:br/>
        <w:t xml:space="preserve">        - Wymagania dotyczące emisji spalin (ryzyko niskie)</w:t>
        <w:br/>
        <w:t xml:space="preserve">        - Harmonogram uzależniony od warunków atmosferycznych (ryzyko średnie)</w:t>
      </w:r>
    </w:p>
    <w:p>
      <w:pPr>
        <w:pStyle w:val="Heading3"/>
      </w:pPr>
      <w:r>
        <w:t>Status rentowności:</w:t>
      </w:r>
    </w:p>
    <w:p>
      <w:r>
        <w:t>Status: Planowany</w:t>
      </w:r>
    </w:p>
    <w:p>
      <w:r>
        <w:br w:type="page"/>
      </w:r>
    </w:p>
    <w:p>
      <w:pPr>
        <w:pStyle w:val="Heading1"/>
      </w:pPr>
      <w:r>
        <w:t>3. Analiza głównych ryzyk wpływających na nierentowność projektów</w:t>
      </w:r>
    </w:p>
    <w:p>
      <w:r>
        <w:br/>
        <w:t xml:space="preserve">Na podstawie analizy przeprowadzonych projektów zidentyfikowano następujące główne kategorie ryzyk, </w:t>
        <w:br/>
        <w:t>które miały bezpośredni wpływ na nierentowność projektów PB-2024-005 (Most Kolejowy) i PB-2024-006 (Rozbudowa Szpitala):</w:t>
        <w:br/>
      </w:r>
    </w:p>
    <w:p>
      <w:pPr>
        <w:pStyle w:val="Heading2"/>
      </w:pPr>
      <w:r>
        <w:t>3.1 Ryzyko związane z dostawami i łańcuchem dostaw</w:t>
      </w:r>
    </w:p>
    <w:p>
      <w:r>
        <w:br/>
        <w:t>• Opóźnienia w dostawach konstrukcji stalowej (Projekt PB-2024-005): 8 miesięcy opóźnienia</w:t>
        <w:br/>
        <w:t>• Wzrost cen materiałów podczas realizacji: wzrost cen stali o 25%</w:t>
        <w:br/>
        <w:t>• Problemy z dostępnością specjalistycznych materiałów medycznych (Projekt PB-2024-006)</w:t>
        <w:br/>
        <w:br/>
        <w:t>Wpływ finansowy: ok. 7 mln PLN dodatkowych kosztów</w:t>
        <w:br/>
      </w:r>
    </w:p>
    <w:p>
      <w:pPr>
        <w:pStyle w:val="Heading2"/>
      </w:pPr>
      <w:r>
        <w:t>3.2 Ryzyko regulacyjne i prawne</w:t>
      </w:r>
    </w:p>
    <w:p>
      <w:r>
        <w:br/>
        <w:t>• Zmiany w przepisach sanitarnych w trakcie realizacji (Projekt PB-2024-006): 3 mln PLN dodatkowych kosztów</w:t>
        <w:br/>
        <w:t>• Wydłużone procedury środowiskowe (Projekt PB-2024-005): 4 miesiące opóźnienia</w:t>
        <w:br/>
        <w:t>• Problemy z certyfikacją instalacji specjalistycznych: 6 miesięcy opóźnienia</w:t>
        <w:br/>
        <w:br/>
        <w:t>Wpływ finansowy: ok. 4 mln PLN dodatkowych kosztów</w:t>
        <w:br/>
      </w:r>
    </w:p>
    <w:p>
      <w:pPr>
        <w:pStyle w:val="Heading2"/>
      </w:pPr>
      <w:r>
        <w:t>3.3 Ryzyko techniczne i geologiczne</w:t>
      </w:r>
    </w:p>
    <w:p>
      <w:r>
        <w:br/>
        <w:t>• Problemy z fundamentami w trudnych warunkach geologicznych (Projekt PB-2024-005): 5 mln PLN</w:t>
        <w:br/>
        <w:t>• Awarie istniejących instalacji podczas modernizacji (Projekt PB-2024-006): 1 mln PLN</w:t>
        <w:br/>
        <w:t>• Niewystarczające badania geotechniczne przed rozpoczęciem prac</w:t>
        <w:br/>
        <w:br/>
        <w:t>Wpływ finansowy: ok. 6 mln PLN dodatkowych kosztów</w:t>
        <w:br/>
      </w:r>
    </w:p>
    <w:p>
      <w:pPr>
        <w:pStyle w:val="Heading2"/>
      </w:pPr>
      <w:r>
        <w:t>3.4 Ryzyko kadrowe i kompetencyjne</w:t>
      </w:r>
    </w:p>
    <w:p>
      <w:r>
        <w:br/>
        <w:t>• Konieczność zatrudnienia dodatkowych specjalistów w trakcie projektu</w:t>
        <w:br/>
        <w:t>• Brak odpowiednich kompetencji w zespole projektowym</w:t>
        <w:br/>
        <w:t>• Wysokie koszty zewnętrznych konsultantów medycznych</w:t>
        <w:br/>
        <w:br/>
        <w:t>Wpływ finansowy: ok. 3,5 mln PLN dodatkowych kosztów</w:t>
        <w:br/>
      </w:r>
    </w:p>
    <w:p>
      <w:pPr>
        <w:pStyle w:val="Heading1"/>
      </w:pPr>
      <w:r>
        <w:t>4. Rekomendacje dotyczące ograniczenia ryzyk w przyszłych projektach</w:t>
      </w:r>
    </w:p>
    <w:p>
      <w:r>
        <w:br/>
        <w:t xml:space="preserve">W celu poprawy rentowności przyszłych projektów i ograniczenia zidentyfikowanych ryzyk, </w:t>
        <w:br/>
        <w:t>zarząd powinien rozważyć wdrożenie następujących strategii:</w:t>
        <w:br/>
      </w:r>
    </w:p>
    <w:p>
      <w:pPr>
        <w:pStyle w:val="Heading2"/>
      </w:pPr>
      <w:r>
        <w:t>4.1 Strategia cenowa i kontraktowa</w:t>
      </w:r>
    </w:p>
    <w:p>
      <w:r>
        <w:br/>
        <w:t>• ZWIĘKSZENIE MARŻY BEZPIECZEŃSTWA: Ustalenie minimalnej marży na poziomie 15-20% dla projektów o wysokim ryzyku</w:t>
        <w:br/>
        <w:t>• PRACA W MODELU TIME &amp; MATERIALS (T&amp;M): Dla projektów o wysokiej niepewności technicznej</w:t>
        <w:br/>
        <w:t>• KLAUZULE WALORYZACYJNE: Automatyczne dostosowanie cen do wzrostu kosztów materiałów powyżej 5%</w:t>
        <w:br/>
        <w:t>• PŁATNOŚCI ETAPOWE: Skrócenie okresów płatności do max. 30 dni</w:t>
        <w:br/>
        <w:br/>
        <w:t>Potencjalny wpływ: Poprawa marży o 8-12 punktów procentowych</w:t>
        <w:br/>
      </w:r>
    </w:p>
    <w:p>
      <w:pPr>
        <w:pStyle w:val="Heading2"/>
      </w:pPr>
      <w:r>
        <w:t>4.2 Zarządzanie ryzykiem dostaw</w:t>
      </w:r>
    </w:p>
    <w:p>
      <w:r>
        <w:br/>
        <w:t>• DYWERSYFIKACJA DOSTAWCÓW: Minimum 2-3 alternatywnych dostawców dla kluczowych materiałów</w:t>
        <w:br/>
        <w:t>• KONTRAKTY DŁUGOTERMINOWE: Zabezpieczenie cen na minimum 12 miesięcy</w:t>
        <w:br/>
        <w:t>• WIĘKSZY MAGAZYN BUFOROWY: 10-15% zapas materiałów krytycznych</w:t>
        <w:br/>
        <w:t>• MONITORING RYNKU: Miesięczne analizy trendów cenowych w branży budowlanej</w:t>
        <w:br/>
        <w:br/>
        <w:t>Szacowany koszt wdrożenia: 2-3% wartości projektu</w:t>
        <w:br/>
        <w:t>Potencjalne oszczędności: 5-8% wartości projektu</w:t>
        <w:br/>
      </w:r>
    </w:p>
    <w:p>
      <w:pPr>
        <w:pStyle w:val="Heading2"/>
      </w:pPr>
      <w:r>
        <w:t>4.3 Wzmocnienie kompetencji zespołu</w:t>
      </w:r>
    </w:p>
    <w:p>
      <w:r>
        <w:br/>
        <w:t>• CENTRUM KOMPETENCJI: Utworzenie zespołów specjalistycznych (medyczne, kolejowe, przemysłowe)</w:t>
        <w:br/>
        <w:t>• SZKOLENIA ZESPOŁU: Program rozwoju kompetencji dla kierowników projektów</w:t>
        <w:br/>
        <w:t>• BAZA WIEDZY: System dokumentowania doświadczeń z realizowanych projektów</w:t>
        <w:br/>
        <w:t>• ZEWNĘTRZNI EKSPERCI: Lista sprawdzonych konsultantów do projektów specjalistycznych</w:t>
        <w:br/>
        <w:br/>
        <w:t>Koszt inwestycji: 500 tys. PLN rocznie</w:t>
        <w:br/>
        <w:t>Potencjalne oszczędności: 2-4 mln PLN rocznie</w:t>
        <w:br/>
      </w:r>
    </w:p>
    <w:p>
      <w:pPr>
        <w:pStyle w:val="Heading2"/>
      </w:pPr>
      <w:r>
        <w:t>4.4 Usprawnienia procesowe</w:t>
      </w:r>
    </w:p>
    <w:p>
      <w:r>
        <w:br/>
        <w:t>• DOGŁĘBNE ANALIZY PRZEDPROJEKTOWE: Zwiększenie budżetu na badania wstępne o 50%</w:t>
        <w:br/>
        <w:t>• SYSTEM WCZESNEGO OSTRZEGANIA: Miesięczne przeglądy budżetu i harmonogramu</w:t>
        <w:br/>
        <w:t>• STANDARDY JAKOŚCI: Wdrożenie ISO 9001 i procedur kontroli jakości</w:t>
        <w:br/>
        <w:t>• ZARZĄDZANIE ZMIANAMI: Formalne procedury zatwierdzania zmian w projekcie</w:t>
        <w:br/>
        <w:br/>
        <w:t>Koszt wdrożenia: 200 tys. PLN</w:t>
        <w:br/>
        <w:t>Potencjalne oszczędności: 3-5% wartości projektów</w:t>
        <w:br/>
      </w:r>
    </w:p>
    <w:p>
      <w:pPr>
        <w:pStyle w:val="Heading1"/>
      </w:pPr>
      <w:r>
        <w:t>5. Podsumowanie wykonawcze i wnioski</w:t>
      </w:r>
    </w:p>
    <w:p>
      <w:r>
        <w:br/>
        <w:t xml:space="preserve">Analiza 7 projektów realizowanych w 2024 roku wykazuje znaczące wyzwania w zakresie rentowności. </w:t>
        <w:br/>
        <w:t xml:space="preserve">Pomimo osiągnięcia zysków w 4 projektach, 2 duże projekty infrastrukturalne (Most Kolejowy i Rozbudowa Szpitala) </w:t>
        <w:br/>
        <w:t>spowodowały stratę w wysokości 17,5 mln PLN.</w:t>
        <w:br/>
        <w:br/>
        <w:t>KLUCZOWE USTALENIA:</w:t>
        <w:br/>
        <w:t>• Główną przyczyną strat były niewystarczające analizy ryzyka przed rozpoczęciem projektów</w:t>
        <w:br/>
        <w:t>• Brak odpowiednich klauzul zabezpieczających w kontraktach</w:t>
        <w:br/>
        <w:t>• Nieadekwatne marże bezpieczeństwa dla projektów wysokiego ryzyka</w:t>
        <w:br/>
        <w:t>• Problemy z zarządzaniem łańcuchem dostaw</w:t>
        <w:br/>
        <w:br/>
        <w:t>PRIORYTETOWE DZIAŁANIA:</w:t>
        <w:br/>
        <w:t>1. Zwiększenie minimalnej marży do 15% dla wszystkich nowych projektów</w:t>
        <w:br/>
        <w:t>2. Wdrożenie modelu T&amp;M dla projektów o niepewności technicznej &gt;20%</w:t>
        <w:br/>
        <w:t>3. Utworzenie funduszu rezerwowego w wysokości 3% wartości portfela projektów</w:t>
        <w:br/>
        <w:t>4. Przeprowadzenie audytu kompetencji zespołu projektowego</w:t>
        <w:br/>
        <w:br/>
        <w:t>PROGNOZOWANA POPRAWA:</w:t>
        <w:br/>
        <w:t xml:space="preserve">Wdrożenie rekomendacji powinno poprawić średnią marżę o 8-10 punktów procentowych </w:t>
        <w:br/>
        <w:t>i ograniczyć ryzyko strat o 70% w kolejnych latach.</w:t>
        <w:br/>
      </w:r>
    </w:p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t>ProBuild Solutions Sp. z o.o. - Analiza Projektów 2024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